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009807F6">
        <w:rPr>
          <w:rFonts w:ascii="Arial" w:hAnsi="Arial" w:cs="Arial"/>
          <w:b/>
          <w:bCs/>
          <w:lang w:val="en-GB"/>
        </w:rPr>
        <w:t xml:space="preserve"> Meeting #</w:t>
      </w:r>
      <w:r w:rsidR="00CB39BA">
        <w:rPr>
          <w:rFonts w:ascii="Arial" w:hAnsi="Arial" w:cs="Arial"/>
          <w:b/>
          <w:bCs/>
          <w:lang w:val="en-GB"/>
        </w:rPr>
        <w:t>10</w:t>
      </w:r>
      <w:r w:rsidR="009807F6">
        <w:rPr>
          <w:rFonts w:ascii="Arial" w:hAnsi="Arial" w:cs="Arial"/>
          <w:b/>
          <w:bCs/>
          <w:lang w:val="en-GB"/>
        </w:rPr>
        <w:t>4</w:t>
      </w:r>
      <w:r w:rsidRPr="00BD722C">
        <w:rPr>
          <w:rFonts w:ascii="Arial" w:hAnsi="Arial" w:cs="Arial"/>
          <w:b/>
          <w:bCs/>
          <w:lang w:val="en-GB"/>
        </w:rPr>
        <w:t xml:space="preserve">                                       </w:t>
      </w:r>
      <w:r w:rsidRPr="00BD722C">
        <w:rPr>
          <w:rFonts w:ascii="Arial" w:hAnsi="Arial" w:cs="Arial"/>
          <w:b/>
          <w:bCs/>
          <w:lang w:val="en-GB"/>
        </w:rPr>
        <w:tab/>
      </w:r>
      <w:r w:rsidR="00F53939" w:rsidRPr="00F53939">
        <w:rPr>
          <w:rFonts w:ascii="Arial" w:hAnsi="Arial" w:cs="Arial"/>
          <w:b/>
          <w:bCs/>
          <w:lang w:val="en-GB"/>
        </w:rPr>
        <w:t>R2-18</w:t>
      </w:r>
      <w:r w:rsidR="00194136">
        <w:rPr>
          <w:rFonts w:ascii="Arial" w:hAnsi="Arial" w:cs="Arial"/>
          <w:b/>
          <w:bCs/>
          <w:lang w:val="en-GB"/>
        </w:rPr>
        <w:t>1</w:t>
      </w:r>
      <w:r w:rsidR="001C194F">
        <w:rPr>
          <w:rFonts w:ascii="Arial" w:hAnsi="Arial" w:cs="Arial"/>
          <w:b/>
          <w:bCs/>
          <w:lang w:val="en-GB"/>
        </w:rPr>
        <w:t>7768</w:t>
      </w:r>
      <w:bookmarkStart w:id="0" w:name="_GoBack"/>
      <w:bookmarkEnd w:id="0"/>
    </w:p>
    <w:p w:rsidR="00F83230" w:rsidRPr="00BD722C" w:rsidRDefault="009807F6" w:rsidP="009807F6">
      <w:pPr>
        <w:pStyle w:val="Header"/>
        <w:widowControl w:val="0"/>
        <w:rPr>
          <w:rFonts w:ascii="Arial" w:hAnsi="Arial" w:cs="Arial"/>
          <w:b/>
          <w:bCs/>
          <w:highlight w:val="yellow"/>
          <w:lang w:val="en-GB"/>
        </w:rPr>
      </w:pPr>
      <w:r w:rsidRPr="009807F6">
        <w:rPr>
          <w:rFonts w:ascii="Arial" w:hAnsi="Arial" w:cs="Arial"/>
          <w:b/>
          <w:bCs/>
          <w:lang w:val="en-GB"/>
        </w:rPr>
        <w:t>Spokane, USA, 12th - 16th November 201</w:t>
      </w:r>
      <w:r w:rsidR="0051520E" w:rsidRPr="0051520E">
        <w:rPr>
          <w:rFonts w:ascii="Arial" w:hAnsi="Arial" w:cs="Arial"/>
          <w:b/>
          <w:bCs/>
          <w:lang w:val="en-GB"/>
        </w:rPr>
        <w:t>8</w:t>
      </w:r>
      <w:r w:rsidR="0051520E">
        <w:rPr>
          <w:rFonts w:ascii="Arial" w:hAnsi="Arial" w:cs="Arial"/>
          <w:b/>
          <w:bCs/>
          <w:lang w:val="en-GB" w:eastAsia="zh-CN"/>
        </w:rPr>
        <w:tab/>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D4765E">
        <w:rPr>
          <w:rFonts w:ascii="Arial" w:hAnsi="Arial" w:cs="Arial"/>
          <w:b/>
          <w:bCs/>
          <w:szCs w:val="20"/>
          <w:lang w:val="en-GB" w:eastAsia="zh-CN"/>
        </w:rPr>
        <w:t>4.</w:t>
      </w:r>
      <w:r w:rsidR="0020462C">
        <w:rPr>
          <w:rFonts w:ascii="Arial" w:hAnsi="Arial" w:cs="Arial"/>
          <w:b/>
          <w:bCs/>
          <w:szCs w:val="20"/>
          <w:lang w:val="en-GB" w:eastAsia="zh-CN"/>
        </w:rPr>
        <w:t>2.</w:t>
      </w:r>
      <w:r w:rsidR="00D4765E">
        <w:rPr>
          <w:rFonts w:ascii="Arial" w:hAnsi="Arial" w:cs="Arial"/>
          <w:b/>
          <w:bCs/>
          <w:szCs w:val="20"/>
          <w:lang w:val="en-GB" w:eastAsia="zh-CN"/>
        </w:rPr>
        <w:t>1</w:t>
      </w:r>
      <w:r w:rsidR="0020462C">
        <w:rPr>
          <w:rFonts w:ascii="Arial" w:hAnsi="Arial" w:cs="Arial"/>
          <w:b/>
          <w:bCs/>
          <w:szCs w:val="20"/>
          <w:lang w:val="en-GB" w:eastAsia="zh-CN"/>
        </w:rPr>
        <w:t xml:space="preserve"> (Scenarios)</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20462C">
        <w:rPr>
          <w:rFonts w:ascii="Arial" w:hAnsi="Arial" w:cs="Arial"/>
          <w:b/>
          <w:bCs/>
          <w:szCs w:val="20"/>
          <w:lang w:val="en-GB" w:eastAsia="zh-CN"/>
        </w:rPr>
        <w:t>UE minimum RAT capability in NR V2X</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AF73F5" w:rsidRPr="004C453B" w:rsidRDefault="003012FD" w:rsidP="00AF73F5">
      <w:pPr>
        <w:rPr>
          <w:sz w:val="20"/>
          <w:lang w:val="en-GB" w:eastAsia="zh-CN"/>
        </w:rPr>
      </w:pPr>
      <w:r w:rsidRPr="004C453B">
        <w:rPr>
          <w:sz w:val="20"/>
          <w:lang w:val="en-GB" w:eastAsia="zh-CN"/>
        </w:rPr>
        <w:t>The study on NR V2X [</w:t>
      </w:r>
      <w:r w:rsidR="00620D8F">
        <w:rPr>
          <w:sz w:val="20"/>
          <w:lang w:val="en-GB" w:eastAsia="zh-CN"/>
        </w:rPr>
        <w:t>1</w:t>
      </w:r>
      <w:r w:rsidRPr="004C453B">
        <w:rPr>
          <w:sz w:val="20"/>
          <w:lang w:val="en-GB" w:eastAsia="zh-CN"/>
        </w:rPr>
        <w:t>]</w:t>
      </w:r>
      <w:r w:rsidR="00E31458" w:rsidRPr="004C453B">
        <w:rPr>
          <w:sz w:val="20"/>
          <w:lang w:val="en-GB" w:eastAsia="zh-CN"/>
        </w:rPr>
        <w:t xml:space="preserve"> has the following justification:</w:t>
      </w:r>
    </w:p>
    <w:tbl>
      <w:tblPr>
        <w:tblStyle w:val="TableGrid"/>
        <w:tblW w:w="0" w:type="auto"/>
        <w:tblLook w:val="04A0" w:firstRow="1" w:lastRow="0" w:firstColumn="1" w:lastColumn="0" w:noHBand="0" w:noVBand="1"/>
      </w:tblPr>
      <w:tblGrid>
        <w:gridCol w:w="9533"/>
      </w:tblGrid>
      <w:tr w:rsidR="00E31458" w:rsidTr="00E31458">
        <w:tc>
          <w:tcPr>
            <w:tcW w:w="9533" w:type="dxa"/>
          </w:tcPr>
          <w:p w:rsidR="00E31458" w:rsidRDefault="00E31458" w:rsidP="00E31458">
            <w:pPr>
              <w:rPr>
                <w:i/>
                <w:sz w:val="18"/>
                <w:lang w:eastAsia="ko-KR"/>
              </w:rPr>
            </w:pPr>
          </w:p>
          <w:p w:rsidR="00E31458" w:rsidRPr="00E31458" w:rsidRDefault="00E31458" w:rsidP="00E31458">
            <w:pPr>
              <w:rPr>
                <w:i/>
                <w:sz w:val="18"/>
              </w:rPr>
            </w:pPr>
            <w:r w:rsidRPr="00E31458">
              <w:rPr>
                <w:i/>
                <w:sz w:val="18"/>
                <w:lang w:eastAsia="ko-KR"/>
              </w:rPr>
              <w:t xml:space="preserve">SA1 has considered both LTE and NR for the candidates of 3GPP RATs in supporting eV2X. </w:t>
            </w:r>
            <w:r w:rsidRPr="00E31458">
              <w:rPr>
                <w:i/>
                <w:sz w:val="18"/>
              </w:rPr>
              <w:t>Advanced V2X services (SA1’s 25 use cases categorised into four groups - Vehicle platooning, Extended sensors, Advanced driving, and Remote driving) are the focus of the Study Item.  Technical requirements of these use cases would drive the technical study/design.</w:t>
            </w:r>
          </w:p>
          <w:p w:rsidR="00E31458" w:rsidRPr="00E31458" w:rsidRDefault="00E31458" w:rsidP="00AF73F5">
            <w:pPr>
              <w:rPr>
                <w:bCs/>
                <w:i/>
                <w:sz w:val="18"/>
              </w:rPr>
            </w:pPr>
            <w:r w:rsidRPr="00E31458">
              <w:rPr>
                <w:i/>
                <w:sz w:val="18"/>
                <w:lang w:eastAsia="ko-KR"/>
              </w:rPr>
              <w:t xml:space="preserve">TSG RAN has already agreed in TR 38.913 that </w:t>
            </w:r>
            <w:r w:rsidRPr="00E31458">
              <w:rPr>
                <w:i/>
                <w:sz w:val="18"/>
                <w:highlight w:val="yellow"/>
                <w:lang w:eastAsia="ko-KR"/>
              </w:rPr>
              <w:t>it is not intended for NR V2X to replace the services offered by LTE V2X</w:t>
            </w:r>
            <w:r w:rsidRPr="00E31458">
              <w:rPr>
                <w:i/>
                <w:sz w:val="18"/>
                <w:lang w:eastAsia="ko-KR"/>
              </w:rPr>
              <w:t>. Instead, the NR V2X shall complement LTE V2X for advanced V2X services and support interworking with LTE V2X. A</w:t>
            </w:r>
            <w:r w:rsidRPr="00E31458">
              <w:rPr>
                <w:i/>
                <w:sz w:val="18"/>
              </w:rPr>
              <w:t xml:space="preserve">t least from 3GPP RAN technology development standpoint, </w:t>
            </w:r>
            <w:r w:rsidRPr="00E31458">
              <w:rPr>
                <w:i/>
                <w:sz w:val="18"/>
                <w:highlight w:val="yellow"/>
              </w:rPr>
              <w:t>the focus and scope of NR V2X study is to target advanced V2X use cases</w:t>
            </w:r>
            <w:r w:rsidRPr="00E31458">
              <w:rPr>
                <w:i/>
                <w:sz w:val="18"/>
              </w:rPr>
              <w:t xml:space="preserve">. </w:t>
            </w:r>
            <w:r w:rsidRPr="00E31458">
              <w:rPr>
                <w:i/>
                <w:sz w:val="18"/>
                <w:highlight w:val="green"/>
              </w:rPr>
              <w:t>However, this does not imply that NR V2X capability is necessarily restricted to advanced services.</w:t>
            </w:r>
            <w:r w:rsidRPr="00E31458">
              <w:rPr>
                <w:i/>
                <w:sz w:val="18"/>
              </w:rPr>
              <w:t xml:space="preserve"> It is clearly up to the regional regulators and the stakeholders involved (i.e. Car OEMs and automotive ecosystem in general) to decide on the technology of choice for the services and use cases.</w:t>
            </w:r>
          </w:p>
        </w:tc>
      </w:tr>
    </w:tbl>
    <w:p w:rsidR="00E31458" w:rsidRDefault="00E31458" w:rsidP="00AF73F5">
      <w:pPr>
        <w:rPr>
          <w:lang w:val="en-GB" w:eastAsia="zh-CN"/>
        </w:rPr>
      </w:pPr>
    </w:p>
    <w:p w:rsidR="00E31458" w:rsidRPr="004C453B" w:rsidRDefault="00E31458" w:rsidP="00AF73F5">
      <w:pPr>
        <w:rPr>
          <w:sz w:val="20"/>
          <w:lang w:val="en-GB" w:eastAsia="zh-CN"/>
        </w:rPr>
      </w:pPr>
      <w:r w:rsidRPr="004C453B">
        <w:rPr>
          <w:sz w:val="20"/>
          <w:lang w:val="en-GB" w:eastAsia="zh-CN"/>
        </w:rPr>
        <w:t xml:space="preserve">The yellow and green highlighted text </w:t>
      </w:r>
      <w:r w:rsidR="004C453B" w:rsidRPr="004C453B">
        <w:rPr>
          <w:sz w:val="20"/>
          <w:lang w:val="en-GB" w:eastAsia="zh-CN"/>
        </w:rPr>
        <w:t xml:space="preserve">are </w:t>
      </w:r>
      <w:r w:rsidRPr="004C453B">
        <w:rPr>
          <w:sz w:val="20"/>
          <w:lang w:val="en-GB" w:eastAsia="zh-CN"/>
        </w:rPr>
        <w:t>somewhat contradicting and the intention of this document is to clarify the scope of the study in RAN2.</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920182" w:rsidRPr="00435CAA" w:rsidRDefault="00620D8F" w:rsidP="00920182">
      <w:pPr>
        <w:rPr>
          <w:b/>
          <w:sz w:val="20"/>
          <w:szCs w:val="20"/>
          <w:lang w:val="en-GB"/>
        </w:rPr>
      </w:pPr>
      <w:r>
        <w:rPr>
          <w:sz w:val="20"/>
          <w:szCs w:val="20"/>
          <w:lang w:val="en-GB" w:eastAsia="zh-CN"/>
        </w:rPr>
        <w:t xml:space="preserve">TS </w:t>
      </w:r>
      <w:r w:rsidR="004C453B" w:rsidRPr="00435CAA">
        <w:rPr>
          <w:sz w:val="20"/>
          <w:szCs w:val="20"/>
          <w:lang w:val="en-GB" w:eastAsia="zh-CN"/>
        </w:rPr>
        <w:t>[</w:t>
      </w:r>
      <w:r w:rsidR="005073AC" w:rsidRPr="00435CAA">
        <w:rPr>
          <w:sz w:val="20"/>
          <w:szCs w:val="20"/>
          <w:lang w:val="en-GB" w:eastAsia="zh-CN"/>
        </w:rPr>
        <w:t>2</w:t>
      </w:r>
      <w:r w:rsidR="004C453B" w:rsidRPr="00435CAA">
        <w:rPr>
          <w:sz w:val="20"/>
          <w:szCs w:val="20"/>
          <w:lang w:val="en-GB" w:eastAsia="zh-CN"/>
        </w:rPr>
        <w:t xml:space="preserve">] defines </w:t>
      </w:r>
      <w:r w:rsidR="00E27F63" w:rsidRPr="00435CAA">
        <w:rPr>
          <w:sz w:val="20"/>
          <w:szCs w:val="20"/>
          <w:lang w:val="en-GB" w:eastAsia="zh-CN"/>
        </w:rPr>
        <w:t xml:space="preserve">requirements for eV2X; </w:t>
      </w:r>
      <w:r w:rsidR="004C453B" w:rsidRPr="00435CAA">
        <w:rPr>
          <w:sz w:val="20"/>
          <w:szCs w:val="20"/>
          <w:lang w:val="en-GB" w:eastAsia="zh-CN"/>
        </w:rPr>
        <w:t xml:space="preserve">five Categories of Requirements (CoR) to support eV2X scenarios: General Aspects, Vehicle Platooning, Advanced Driving, Extended Sensors and Remote Driving. Additionally, it defines six Level of Automation (LoA), reflecting the functional aspects of the technology and affecting the system performance requirements. The </w:t>
      </w:r>
      <w:r w:rsidR="00E27F63" w:rsidRPr="00435CAA">
        <w:rPr>
          <w:sz w:val="20"/>
          <w:szCs w:val="20"/>
          <w:lang w:val="en-GB" w:eastAsia="zh-CN"/>
        </w:rPr>
        <w:t>six</w:t>
      </w:r>
      <w:r w:rsidR="004C453B" w:rsidRPr="00435CAA">
        <w:rPr>
          <w:sz w:val="20"/>
          <w:szCs w:val="20"/>
          <w:lang w:val="en-GB" w:eastAsia="zh-CN"/>
        </w:rPr>
        <w:t xml:space="preserve"> level of automation defined are: No Automation (0), Driver Assistance (1), Partial Automation (2), Conditional Automation (3), High Automation (4), Full Automation (5). For each CoR and each LoA, requirements are specified in terms of Payload (from 50 to 12000 bytes), Transmission Rate (from 2 to 50 message/sec), Maximum end-to-end latency (from 3 to 500 ms), Reliability (from 90% to 99.999%), Data rate (from 0.5 to 1000 Mbps) and minimum required communication range (from 50 to 1000 meters).</w:t>
      </w:r>
      <w:r w:rsidR="00E27F63" w:rsidRPr="00435CAA">
        <w:rPr>
          <w:sz w:val="20"/>
          <w:szCs w:val="20"/>
          <w:lang w:val="en-GB" w:eastAsia="zh-CN"/>
        </w:rPr>
        <w:t xml:space="preserve"> These requirements are different from V2X [3: TS 22.185]</w:t>
      </w:r>
      <w:r w:rsidR="00435CAA" w:rsidRPr="00435CAA">
        <w:rPr>
          <w:sz w:val="20"/>
          <w:szCs w:val="20"/>
          <w:lang w:val="en-GB" w:eastAsia="zh-CN"/>
        </w:rPr>
        <w:t xml:space="preserve">. However, a closer look reveals that the V2X requirements are actually a subset of eV2X requirements [e.g. required </w:t>
      </w:r>
      <w:r w:rsidR="00435CAA" w:rsidRPr="00435CAA">
        <w:rPr>
          <w:rFonts w:eastAsia="SimSun"/>
          <w:sz w:val="20"/>
          <w:szCs w:val="20"/>
          <w:lang w:eastAsia="zh-CN"/>
        </w:rPr>
        <w:t>maximum latency of 20ms, message payloads can be up to 1200 bytes, maximum frequency of 10 messages per second etc.]. So, in this respect if the eV2X system fulfills the requirements from [2], then V2X applications can be supported using these requirements.</w:t>
      </w:r>
    </w:p>
    <w:p w:rsidR="00920182" w:rsidRPr="00307429" w:rsidRDefault="00325E97" w:rsidP="00920182">
      <w:pPr>
        <w:rPr>
          <w:b/>
          <w:sz w:val="20"/>
          <w:lang w:val="en-GB"/>
        </w:rPr>
      </w:pPr>
      <w:r w:rsidRPr="00307429">
        <w:rPr>
          <w:b/>
          <w:sz w:val="20"/>
          <w:lang w:val="en-GB"/>
        </w:rPr>
        <w:t>Observation 1: V2X requirements are a subset of eV2X requirements.</w:t>
      </w:r>
    </w:p>
    <w:p w:rsidR="00A13610" w:rsidRDefault="00A13610" w:rsidP="00A13610">
      <w:pPr>
        <w:rPr>
          <w:rFonts w:eastAsia="SimSun"/>
          <w:sz w:val="20"/>
          <w:szCs w:val="20"/>
          <w:lang w:eastAsia="zh-CN"/>
        </w:rPr>
      </w:pPr>
    </w:p>
    <w:p w:rsidR="00A13610" w:rsidRDefault="00A13610" w:rsidP="00A13610">
      <w:pPr>
        <w:rPr>
          <w:rFonts w:eastAsia="SimSun"/>
          <w:sz w:val="20"/>
          <w:szCs w:val="20"/>
          <w:lang w:eastAsia="zh-CN"/>
        </w:rPr>
      </w:pPr>
      <w:r>
        <w:rPr>
          <w:rFonts w:eastAsia="SimSun"/>
          <w:sz w:val="20"/>
          <w:szCs w:val="20"/>
          <w:lang w:eastAsia="zh-CN"/>
        </w:rPr>
        <w:t>Following requirements from [2] indicate that there can be UEs supporting only eV2X:</w:t>
      </w:r>
    </w:p>
    <w:tbl>
      <w:tblPr>
        <w:tblStyle w:val="TableGrid"/>
        <w:tblW w:w="0" w:type="auto"/>
        <w:tblLook w:val="04A0" w:firstRow="1" w:lastRow="0" w:firstColumn="1" w:lastColumn="0" w:noHBand="0" w:noVBand="1"/>
      </w:tblPr>
      <w:tblGrid>
        <w:gridCol w:w="9533"/>
      </w:tblGrid>
      <w:tr w:rsidR="00A13610" w:rsidTr="00A13610">
        <w:tc>
          <w:tcPr>
            <w:tcW w:w="9533" w:type="dxa"/>
          </w:tcPr>
          <w:p w:rsidR="00A13610" w:rsidRPr="00A13610" w:rsidRDefault="00A13610" w:rsidP="00A13610">
            <w:pPr>
              <w:overflowPunct w:val="0"/>
              <w:textAlignment w:val="baseline"/>
              <w:rPr>
                <w:i/>
                <w:sz w:val="20"/>
                <w:lang w:eastAsia="ko-KR"/>
              </w:rPr>
            </w:pPr>
            <w:r w:rsidRPr="00A13610">
              <w:rPr>
                <w:i/>
                <w:sz w:val="20"/>
                <w:lang w:eastAsia="ko-KR"/>
              </w:rPr>
              <w:t xml:space="preserve">[R.5.1-011]         Impact to E-UTRA(N) by </w:t>
            </w:r>
            <w:r w:rsidRPr="00A13610">
              <w:rPr>
                <w:i/>
                <w:sz w:val="20"/>
                <w:highlight w:val="yellow"/>
                <w:lang w:eastAsia="ko-KR"/>
              </w:rPr>
              <w:t>UE supporting only NR based V2X communication</w:t>
            </w:r>
            <w:r w:rsidRPr="00A13610">
              <w:rPr>
                <w:i/>
                <w:sz w:val="20"/>
                <w:lang w:eastAsia="ko-KR"/>
              </w:rPr>
              <w:t xml:space="preserve"> shall be minimized.</w:t>
            </w:r>
          </w:p>
          <w:p w:rsidR="00A13610" w:rsidRPr="00A13610" w:rsidRDefault="00A13610" w:rsidP="00A13610">
            <w:pPr>
              <w:overflowPunct w:val="0"/>
              <w:textAlignment w:val="baseline"/>
              <w:rPr>
                <w:i/>
                <w:sz w:val="20"/>
                <w:lang w:eastAsia="ko-KR"/>
              </w:rPr>
            </w:pPr>
            <w:r w:rsidRPr="00A13610">
              <w:rPr>
                <w:i/>
                <w:sz w:val="20"/>
                <w:lang w:eastAsia="ko-KR"/>
              </w:rPr>
              <w:t>[R.5.1-012]         Impact to NR by UE supporting only E-UTRA based V2X communication shall be minimized.</w:t>
            </w:r>
          </w:p>
        </w:tc>
      </w:tr>
    </w:tbl>
    <w:p w:rsidR="00A13610" w:rsidRDefault="00A13610" w:rsidP="00A13610">
      <w:pPr>
        <w:rPr>
          <w:sz w:val="20"/>
        </w:rPr>
      </w:pPr>
    </w:p>
    <w:p w:rsidR="00A13610" w:rsidRPr="00E61B05" w:rsidRDefault="00A13610" w:rsidP="00920182">
      <w:pPr>
        <w:rPr>
          <w:rFonts w:eastAsia="SimSun"/>
          <w:sz w:val="20"/>
          <w:szCs w:val="20"/>
          <w:lang w:eastAsia="zh-CN"/>
        </w:rPr>
      </w:pPr>
      <w:r w:rsidRPr="00A13610">
        <w:rPr>
          <w:sz w:val="20"/>
        </w:rPr>
        <w:t>So, if eV2X capable UEs don’t transmit basic V2X message like “braking” in LTE PC5 then how the LTE based V2X UEs get this information?</w:t>
      </w:r>
      <w:r>
        <w:rPr>
          <w:sz w:val="20"/>
        </w:rPr>
        <w:t xml:space="preserve"> </w:t>
      </w:r>
      <w:r>
        <w:rPr>
          <w:rFonts w:eastAsia="SimSun"/>
          <w:sz w:val="20"/>
          <w:szCs w:val="20"/>
          <w:lang w:eastAsia="zh-CN"/>
        </w:rPr>
        <w:t xml:space="preserve">One of the solutions in [4: TS </w:t>
      </w:r>
      <w:r>
        <w:rPr>
          <w:sz w:val="20"/>
          <w:szCs w:val="20"/>
          <w:lang w:val="en-GB" w:eastAsia="zh-CN"/>
        </w:rPr>
        <w:t>23.786-080</w:t>
      </w:r>
      <w:r>
        <w:rPr>
          <w:rFonts w:eastAsia="SimSun"/>
          <w:sz w:val="20"/>
          <w:szCs w:val="20"/>
          <w:lang w:eastAsia="zh-CN"/>
        </w:rPr>
        <w:t xml:space="preserve">] indicates that a “Tx Profile” based approach can be used to reach out the </w:t>
      </w:r>
      <w:r w:rsidRPr="00A13610">
        <w:rPr>
          <w:rFonts w:eastAsia="SimSun"/>
          <w:sz w:val="20"/>
          <w:szCs w:val="20"/>
          <w:lang w:eastAsia="zh-CN"/>
        </w:rPr>
        <w:t>Rel-14</w:t>
      </w:r>
      <w:r>
        <w:rPr>
          <w:rFonts w:eastAsia="SimSun"/>
          <w:sz w:val="20"/>
          <w:szCs w:val="20"/>
          <w:lang w:eastAsia="zh-CN"/>
        </w:rPr>
        <w:t>/ 15</w:t>
      </w:r>
      <w:r w:rsidRPr="00A13610">
        <w:rPr>
          <w:rFonts w:eastAsia="SimSun"/>
          <w:sz w:val="20"/>
          <w:szCs w:val="20"/>
          <w:lang w:eastAsia="zh-CN"/>
        </w:rPr>
        <w:t xml:space="preserve"> V2X capable UEs</w:t>
      </w:r>
      <w:r>
        <w:rPr>
          <w:rFonts w:eastAsia="SimSun"/>
          <w:sz w:val="20"/>
          <w:szCs w:val="20"/>
          <w:lang w:eastAsia="zh-CN"/>
        </w:rPr>
        <w:t xml:space="preserve">. However, NR based eV2X UEs might need to adapt much more </w:t>
      </w:r>
      <w:r>
        <w:rPr>
          <w:rFonts w:eastAsia="SimSun"/>
          <w:sz w:val="20"/>
          <w:szCs w:val="20"/>
          <w:lang w:eastAsia="zh-CN"/>
        </w:rPr>
        <w:lastRenderedPageBreak/>
        <w:t xml:space="preserve">than PHY format to be able to be reachable by the </w:t>
      </w:r>
      <w:r w:rsidRPr="00A13610">
        <w:rPr>
          <w:sz w:val="20"/>
        </w:rPr>
        <w:t>LTE based V2X UEs</w:t>
      </w:r>
      <w:r>
        <w:rPr>
          <w:sz w:val="20"/>
        </w:rPr>
        <w:t xml:space="preserve"> since NR and LTE </w:t>
      </w:r>
      <w:r w:rsidR="00E61B05">
        <w:rPr>
          <w:sz w:val="20"/>
        </w:rPr>
        <w:t xml:space="preserve">have </w:t>
      </w:r>
      <w:r>
        <w:rPr>
          <w:sz w:val="20"/>
        </w:rPr>
        <w:t xml:space="preserve">very different protocol </w:t>
      </w:r>
      <w:r w:rsidR="00E61B05">
        <w:rPr>
          <w:sz w:val="20"/>
        </w:rPr>
        <w:t>stacks.</w:t>
      </w:r>
    </w:p>
    <w:p w:rsidR="00325E97" w:rsidRDefault="00325E97" w:rsidP="00920182">
      <w:pPr>
        <w:rPr>
          <w:b/>
          <w:sz w:val="20"/>
          <w:lang w:val="en-GB"/>
        </w:rPr>
      </w:pPr>
      <w:r w:rsidRPr="00307429">
        <w:rPr>
          <w:b/>
          <w:sz w:val="20"/>
          <w:lang w:val="en-GB"/>
        </w:rPr>
        <w:t xml:space="preserve">Observation 2: eV2X system </w:t>
      </w:r>
      <w:r w:rsidR="00680DFF">
        <w:rPr>
          <w:b/>
          <w:sz w:val="20"/>
          <w:lang w:val="en-GB"/>
        </w:rPr>
        <w:t>should</w:t>
      </w:r>
      <w:r w:rsidRPr="00307429">
        <w:rPr>
          <w:b/>
          <w:sz w:val="20"/>
          <w:lang w:val="en-GB"/>
        </w:rPr>
        <w:t xml:space="preserve"> be able to support V2X applications from Rel. 14/ 15.</w:t>
      </w:r>
      <w:r w:rsidR="00E61B05">
        <w:rPr>
          <w:b/>
          <w:sz w:val="20"/>
          <w:lang w:val="en-GB"/>
        </w:rPr>
        <w:t xml:space="preserve"> The V2X/ eV2X messages however may not be available in LTE PC5 format.</w:t>
      </w:r>
    </w:p>
    <w:p w:rsidR="00E61B05" w:rsidRPr="00680DFF" w:rsidRDefault="00680DFF" w:rsidP="00680DFF">
      <w:pPr>
        <w:rPr>
          <w:sz w:val="20"/>
        </w:rPr>
      </w:pPr>
      <w:r w:rsidRPr="00680DFF">
        <w:rPr>
          <w:sz w:val="20"/>
        </w:rPr>
        <w:t xml:space="preserve">Therefore, RAN2 is requested to verify if such </w:t>
      </w:r>
      <w:r w:rsidRPr="00680DFF">
        <w:rPr>
          <w:sz w:val="20"/>
          <w:u w:val="single"/>
        </w:rPr>
        <w:t xml:space="preserve">UEs supporting only NR based V2X communication </w:t>
      </w:r>
      <w:r>
        <w:rPr>
          <w:sz w:val="20"/>
          <w:u w:val="single"/>
        </w:rPr>
        <w:t xml:space="preserve">i.e. UEs </w:t>
      </w:r>
      <w:r w:rsidRPr="00680DFF">
        <w:rPr>
          <w:sz w:val="20"/>
          <w:u w:val="single"/>
        </w:rPr>
        <w:t>not required to support LTE PC5</w:t>
      </w:r>
      <w:r>
        <w:rPr>
          <w:sz w:val="20"/>
          <w:u w:val="single"/>
        </w:rPr>
        <w:t xml:space="preserve"> </w:t>
      </w:r>
      <w:r w:rsidRPr="00680DFF">
        <w:rPr>
          <w:sz w:val="20"/>
          <w:u w:val="single"/>
        </w:rPr>
        <w:t xml:space="preserve">shall </w:t>
      </w:r>
      <w:r>
        <w:rPr>
          <w:sz w:val="20"/>
          <w:u w:val="single"/>
        </w:rPr>
        <w:t xml:space="preserve">really </w:t>
      </w:r>
      <w:r w:rsidRPr="00680DFF">
        <w:rPr>
          <w:sz w:val="20"/>
          <w:u w:val="single"/>
        </w:rPr>
        <w:t>exist</w:t>
      </w:r>
      <w:r w:rsidRPr="00680DFF">
        <w:rPr>
          <w:sz w:val="20"/>
        </w:rPr>
        <w:t xml:space="preserve">. </w:t>
      </w:r>
      <w:r>
        <w:rPr>
          <w:sz w:val="20"/>
        </w:rPr>
        <w:t xml:space="preserve">Since, this is not entirely in our </w:t>
      </w:r>
      <w:r w:rsidR="006F1E6A">
        <w:rPr>
          <w:sz w:val="20"/>
        </w:rPr>
        <w:t>purview</w:t>
      </w:r>
      <w:r>
        <w:rPr>
          <w:sz w:val="20"/>
        </w:rPr>
        <w:t xml:space="preserve"> to decide this alone, w</w:t>
      </w:r>
      <w:r w:rsidRPr="00680DFF">
        <w:rPr>
          <w:sz w:val="20"/>
        </w:rPr>
        <w:t>e need to clarify this requirement with SA1 and SA2.</w:t>
      </w:r>
    </w:p>
    <w:p w:rsidR="00307429" w:rsidRDefault="00680DFF" w:rsidP="00226D8E">
      <w:pPr>
        <w:rPr>
          <w:b/>
          <w:sz w:val="20"/>
        </w:rPr>
      </w:pPr>
      <w:r w:rsidRPr="00680DFF">
        <w:rPr>
          <w:b/>
          <w:sz w:val="20"/>
        </w:rPr>
        <w:t xml:space="preserve">Proposal: Verify with SA1 and SA2 </w:t>
      </w:r>
      <w:r w:rsidR="008524E3">
        <w:rPr>
          <w:b/>
          <w:sz w:val="20"/>
        </w:rPr>
        <w:t xml:space="preserve">if </w:t>
      </w:r>
      <w:r w:rsidRPr="00680DFF">
        <w:rPr>
          <w:b/>
          <w:sz w:val="20"/>
        </w:rPr>
        <w:t>UEs supporting only NR based V2X communication (i.e. UEs not required to support LTE PC5) shall really exist.</w:t>
      </w:r>
    </w:p>
    <w:p w:rsidR="00FC7A94" w:rsidRPr="00FC7A94" w:rsidRDefault="00FC7A94" w:rsidP="00226D8E">
      <w:pPr>
        <w:rPr>
          <w:sz w:val="20"/>
        </w:rPr>
      </w:pPr>
      <w:r w:rsidRPr="00FC7A94">
        <w:rPr>
          <w:sz w:val="20"/>
        </w:rPr>
        <w:t xml:space="preserve">If such UEs </w:t>
      </w:r>
      <w:r w:rsidR="00412322">
        <w:rPr>
          <w:sz w:val="20"/>
        </w:rPr>
        <w:t xml:space="preserve">will </w:t>
      </w:r>
      <w:r w:rsidRPr="00FC7A94">
        <w:rPr>
          <w:sz w:val="20"/>
        </w:rPr>
        <w:t>exist then RAN2 needs to further discuss how the basic safety messages transmitted by the LTE based V2X UEs will be received by NR based V2X UEs and vice versa.</w:t>
      </w: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1643EF" w:rsidP="00305664">
      <w:pPr>
        <w:rPr>
          <w:sz w:val="20"/>
          <w:lang w:val="en-GB" w:eastAsia="zh-CN"/>
        </w:rPr>
      </w:pPr>
      <w:r w:rsidRPr="00A930BD">
        <w:rPr>
          <w:b/>
          <w:sz w:val="20"/>
          <w:lang w:val="en-GB"/>
        </w:rPr>
        <w:t xml:space="preserve">This document </w:t>
      </w:r>
      <w:r w:rsidRPr="00A930BD">
        <w:rPr>
          <w:sz w:val="20"/>
          <w:lang w:val="en-GB" w:eastAsia="zh-CN"/>
        </w:rPr>
        <w:t xml:space="preserve">discussed </w:t>
      </w:r>
      <w:r w:rsidR="00401FE0">
        <w:rPr>
          <w:sz w:val="20"/>
          <w:lang w:val="en-GB" w:eastAsia="zh-CN"/>
        </w:rPr>
        <w:t xml:space="preserve">the RAN2 </w:t>
      </w:r>
      <w:r w:rsidR="00401FE0" w:rsidRPr="004C453B">
        <w:rPr>
          <w:sz w:val="20"/>
          <w:lang w:val="en-GB" w:eastAsia="zh-CN"/>
        </w:rPr>
        <w:t xml:space="preserve">study </w:t>
      </w:r>
      <w:r w:rsidR="00401FE0">
        <w:rPr>
          <w:sz w:val="20"/>
          <w:lang w:val="en-GB" w:eastAsia="zh-CN"/>
        </w:rPr>
        <w:t xml:space="preserve">scope </w:t>
      </w:r>
      <w:r w:rsidR="00401FE0" w:rsidRPr="004C453B">
        <w:rPr>
          <w:sz w:val="20"/>
          <w:lang w:val="en-GB" w:eastAsia="zh-CN"/>
        </w:rPr>
        <w:t>on NR V2X [RP-182111]</w:t>
      </w:r>
      <w:r w:rsidRPr="00A930BD">
        <w:rPr>
          <w:sz w:val="20"/>
          <w:lang w:val="en-GB" w:eastAsia="zh-CN"/>
        </w:rPr>
        <w:t xml:space="preserve">. Following </w:t>
      </w:r>
      <w:r w:rsidR="00401FE0">
        <w:rPr>
          <w:sz w:val="20"/>
          <w:lang w:val="en-GB" w:eastAsia="zh-CN"/>
        </w:rPr>
        <w:t>observations and proposal</w:t>
      </w:r>
      <w:r w:rsidRPr="00A930BD">
        <w:rPr>
          <w:sz w:val="20"/>
          <w:lang w:val="en-GB" w:eastAsia="zh-CN"/>
        </w:rPr>
        <w:t xml:space="preserve"> are made:</w:t>
      </w:r>
    </w:p>
    <w:p w:rsidR="00401FE0" w:rsidRPr="00401FE0" w:rsidRDefault="00401FE0" w:rsidP="00305664">
      <w:pPr>
        <w:rPr>
          <w:b/>
          <w:sz w:val="20"/>
          <w:lang w:val="en-GB"/>
        </w:rPr>
      </w:pPr>
      <w:r w:rsidRPr="00307429">
        <w:rPr>
          <w:b/>
          <w:sz w:val="20"/>
          <w:lang w:val="en-GB"/>
        </w:rPr>
        <w:t>Observation 1: V2X requirements are a subset of eV2X requirements.</w:t>
      </w:r>
    </w:p>
    <w:p w:rsidR="00401FE0" w:rsidRDefault="00401FE0" w:rsidP="00401FE0">
      <w:pPr>
        <w:rPr>
          <w:b/>
          <w:sz w:val="20"/>
          <w:lang w:val="en-GB"/>
        </w:rPr>
      </w:pPr>
      <w:r w:rsidRPr="00307429">
        <w:rPr>
          <w:b/>
          <w:sz w:val="20"/>
          <w:lang w:val="en-GB"/>
        </w:rPr>
        <w:t xml:space="preserve">Observation 2: eV2X system </w:t>
      </w:r>
      <w:r>
        <w:rPr>
          <w:b/>
          <w:sz w:val="20"/>
          <w:lang w:val="en-GB"/>
        </w:rPr>
        <w:t>should</w:t>
      </w:r>
      <w:r w:rsidRPr="00307429">
        <w:rPr>
          <w:b/>
          <w:sz w:val="20"/>
          <w:lang w:val="en-GB"/>
        </w:rPr>
        <w:t xml:space="preserve"> be able to support V2X applications from Rel. 14/ 15.</w:t>
      </w:r>
      <w:r>
        <w:rPr>
          <w:b/>
          <w:sz w:val="20"/>
          <w:lang w:val="en-GB"/>
        </w:rPr>
        <w:t xml:space="preserve"> The V2X/ eV2X messages however may not be available in LTE PC5 format.</w:t>
      </w:r>
    </w:p>
    <w:p w:rsidR="001643EF" w:rsidRPr="00823CA4" w:rsidRDefault="00401FE0" w:rsidP="00305664">
      <w:pPr>
        <w:rPr>
          <w:b/>
          <w:sz w:val="20"/>
        </w:rPr>
      </w:pPr>
      <w:r w:rsidRPr="00680DFF">
        <w:rPr>
          <w:b/>
          <w:sz w:val="20"/>
        </w:rPr>
        <w:t xml:space="preserve">Proposal: Verify with SA1 and SA2 </w:t>
      </w:r>
      <w:r w:rsidR="008524E3">
        <w:rPr>
          <w:b/>
          <w:sz w:val="20"/>
        </w:rPr>
        <w:t xml:space="preserve">if </w:t>
      </w:r>
      <w:r w:rsidRPr="00680DFF">
        <w:rPr>
          <w:b/>
          <w:sz w:val="20"/>
        </w:rPr>
        <w:t>UEs supporting only NR based V2X communication (i.e. UEs not required to support LTE PC5) shall really exist.</w:t>
      </w:r>
    </w:p>
    <w:p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rsidR="00620D8F" w:rsidRPr="00620D8F" w:rsidRDefault="00620D8F" w:rsidP="00620D8F">
      <w:r w:rsidRPr="00620D8F">
        <w:t xml:space="preserve">[1]: </w:t>
      </w:r>
      <w:r w:rsidR="00F62D2D" w:rsidRPr="004C453B">
        <w:rPr>
          <w:sz w:val="20"/>
          <w:lang w:val="en-GB" w:eastAsia="zh-CN"/>
        </w:rPr>
        <w:t>RP-182111</w:t>
      </w:r>
    </w:p>
    <w:p w:rsidR="00620D8F" w:rsidRPr="00CB61D7" w:rsidRDefault="00620D8F" w:rsidP="00305664">
      <w:pPr>
        <w:rPr>
          <w:b/>
          <w:lang w:val="en-GB"/>
        </w:rPr>
      </w:pPr>
      <w:r>
        <w:rPr>
          <w:sz w:val="20"/>
          <w:szCs w:val="20"/>
          <w:lang w:val="en-GB" w:eastAsia="zh-CN"/>
        </w:rPr>
        <w:t xml:space="preserve">[2]: </w:t>
      </w:r>
      <w:r w:rsidRPr="00435CAA">
        <w:rPr>
          <w:sz w:val="20"/>
          <w:szCs w:val="20"/>
          <w:lang w:val="en-GB" w:eastAsia="zh-CN"/>
        </w:rPr>
        <w:t>TS 2</w:t>
      </w:r>
      <w:r>
        <w:rPr>
          <w:sz w:val="20"/>
          <w:szCs w:val="20"/>
          <w:lang w:val="en-GB" w:eastAsia="zh-CN"/>
        </w:rPr>
        <w:t>2.186</w:t>
      </w:r>
    </w:p>
    <w:sectPr w:rsidR="00620D8F"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0A1" w:rsidRDefault="006200A1">
      <w:r>
        <w:separator/>
      </w:r>
    </w:p>
  </w:endnote>
  <w:endnote w:type="continuationSeparator" w:id="0">
    <w:p w:rsidR="006200A1" w:rsidRDefault="00620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charset w:val="02"/>
    <w:family w:val="decorative"/>
    <w:pitch w:val="default"/>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2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0A1" w:rsidRDefault="006200A1">
      <w:r>
        <w:separator/>
      </w:r>
    </w:p>
  </w:footnote>
  <w:footnote w:type="continuationSeparator" w:id="0">
    <w:p w:rsidR="006200A1" w:rsidRDefault="006200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9">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5">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8">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5"/>
  </w:num>
  <w:num w:numId="3">
    <w:abstractNumId w:val="20"/>
  </w:num>
  <w:num w:numId="4">
    <w:abstractNumId w:val="15"/>
  </w:num>
  <w:num w:numId="5">
    <w:abstractNumId w:val="12"/>
  </w:num>
  <w:num w:numId="6">
    <w:abstractNumId w:val="26"/>
  </w:num>
  <w:num w:numId="7">
    <w:abstractNumId w:val="13"/>
  </w:num>
  <w:num w:numId="8">
    <w:abstractNumId w:val="11"/>
  </w:num>
  <w:num w:numId="9">
    <w:abstractNumId w:val="23"/>
  </w:num>
  <w:num w:numId="10">
    <w:abstractNumId w:val="10"/>
  </w:num>
  <w:num w:numId="11">
    <w:abstractNumId w:val="2"/>
  </w:num>
  <w:num w:numId="12">
    <w:abstractNumId w:val="22"/>
  </w:num>
  <w:num w:numId="13">
    <w:abstractNumId w:val="6"/>
  </w:num>
  <w:num w:numId="14">
    <w:abstractNumId w:val="14"/>
  </w:num>
  <w:num w:numId="15">
    <w:abstractNumId w:val="2"/>
  </w:num>
  <w:num w:numId="16">
    <w:abstractNumId w:val="2"/>
  </w:num>
  <w:num w:numId="17">
    <w:abstractNumId w:val="1"/>
  </w:num>
  <w:num w:numId="18">
    <w:abstractNumId w:val="9"/>
  </w:num>
  <w:num w:numId="19">
    <w:abstractNumId w:val="16"/>
  </w:num>
  <w:num w:numId="20">
    <w:abstractNumId w:val="18"/>
  </w:num>
  <w:num w:numId="21">
    <w:abstractNumId w:val="8"/>
  </w:num>
  <w:num w:numId="22">
    <w:abstractNumId w:val="17"/>
  </w:num>
  <w:num w:numId="23">
    <w:abstractNumId w:val="0"/>
  </w:num>
  <w:num w:numId="24">
    <w:abstractNumId w:val="7"/>
  </w:num>
  <w:num w:numId="25">
    <w:abstractNumId w:val="21"/>
  </w:num>
  <w:num w:numId="26">
    <w:abstractNumId w:val="19"/>
  </w:num>
  <w:num w:numId="27">
    <w:abstractNumId w:val="5"/>
  </w:num>
  <w:num w:numId="28">
    <w:abstractNumId w:val="4"/>
  </w:num>
  <w:num w:numId="29">
    <w:abstractNumId w:val="3"/>
  </w:num>
  <w:num w:numId="30">
    <w:abstractNumId w:val="2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4F"/>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0A1"/>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0F78"/>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Normal (Web)" w:uiPriority="99"/>
    <w:lsdException w:name="annotation subjec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列出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1D259D-88BF-4F85-ADDD-D95E4AE2E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735</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 User</cp:lastModifiedBy>
  <cp:revision>11</cp:revision>
  <cp:lastPrinted>2016-08-12T06:06:00Z</cp:lastPrinted>
  <dcterms:created xsi:type="dcterms:W3CDTF">2018-10-30T14:35:00Z</dcterms:created>
  <dcterms:modified xsi:type="dcterms:W3CDTF">2018-11-01T20:27:00Z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